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Criteria for an Expedited Review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Expedited review procedures refer to research that does not involve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vulnerable populations, sensitive topics and involves no more than minimal risk </w:t>
      </w:r>
      <w:r>
        <w:rPr>
          <w:rFonts w:ascii="Calibri" w:hAnsi="Calibri"/>
          <w:sz w:val="22"/>
          <w:szCs w:val="22"/>
          <w:rtl w:val="0"/>
          <w:lang w:val="en-US"/>
        </w:rPr>
        <w:t>to human subjects.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Criteria for IRB approval of expedited review include: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Risks to subjects are minimized: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by using procedures which are consistent with sound research design and which do not unnecessarily expose subjects to risk, and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whenever appropriate, by using procedures already being performed on the subjects for diagnostic or treatment purposes.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Risks to subjects are reasonable </w:t>
      </w:r>
      <w:r>
        <w:rPr>
          <w:rFonts w:ascii="Calibri" w:hAnsi="Calibri"/>
          <w:sz w:val="22"/>
          <w:szCs w:val="22"/>
          <w:rtl w:val="0"/>
          <w:lang w:val="en-US"/>
        </w:rPr>
        <w:t>in relation to the anticipated benefits if any to subjects and the importance of the knowledge that may be reasonably expected to result.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Selection of the subjects is equitable.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Informed consent is received from each prospective subject.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Informed consent is appropriately documented.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The research plan makes adequate provision to ensure the safety of subjects.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Adequate provisions are made to protect the privacy of subjects and to maintain the confidentiality of data.</w:t>
      </w: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Research Categories for an Expedited Review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The follow categories generally require an expedited review.  For further explanation, see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http://www.hhs.gov/ohrp (see expedited review).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Clinical studies of drugs and medical devices when either an investigational new drug application or an investigational device exemption application is not required.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Collection of blood samples by finger stick, heel stick, ear stick or venipuncture as per guidelines.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Prospective collection of biological specimens for research purposes by noninvasive means, e.g., hair and nail clippings, excreta, skin swab, etc.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Collection of data through noninvasive procedures (not involving general anesthesia or sedation) routinely employed in clinical practice, excluding procedures involving x-rays or microwaves.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Research involving materials (data, documents, records, or specimens) that have been collected, or will be collected solely for nonresearch purposes (such as medical treatment or diagnosis).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Collection of data from voice, video, digital, or image recordings made for research purposes.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Research employing survey, oral history, focus group, program evaluation, human factors evaluation, or quality assurance methodologies.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Continuing review of research previously approved by the convened IRB: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Where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the research is permanently closed to the enrollment of new subjects;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all subjects have completed all research-related interventions; and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the research remains active only for long term follow-up of subjects; or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where no subjects have been enrolled and no additional risks have been identified; or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where the remaining research activities are limited to data analysis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</w:pPr>
      <w:r>
        <w:rPr>
          <w:rFonts w:ascii="Calibri" w:hAnsi="Calibri"/>
          <w:sz w:val="22"/>
          <w:szCs w:val="22"/>
          <w:rtl w:val="0"/>
          <w:lang w:val="en-US"/>
        </w:rPr>
        <w:t xml:space="preserve">For more guidance see: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"http://www.hhs.gov/ohrp"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http://www.hhs.gov/ohrp</w:t>
      </w:r>
      <w:r>
        <w:rPr/>
        <w:fldChar w:fldCharType="end" w:fldLock="0"/>
      </w:r>
      <w:r>
        <w:rPr>
          <w:rFonts w:ascii="Calibri" w:hAnsi="Calibri"/>
          <w:sz w:val="22"/>
          <w:szCs w:val="22"/>
          <w:rtl w:val="0"/>
          <w:lang w:val="en-US"/>
        </w:rPr>
        <w:t xml:space="preserve">  (under expedited review)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</w:p>
  <w:p>
    <w:pPr>
      <w:pStyle w:val="Footer"/>
      <w:tabs>
        <w:tab w:val="right" w:pos="9340"/>
        <w:tab w:val="clear" w:pos="9360"/>
      </w:tabs>
      <w:rPr>
        <w:i w:val="1"/>
        <w:iCs w:val="1"/>
      </w:rPr>
    </w:pPr>
    <w:r>
      <w:rPr>
        <w:i w:val="1"/>
        <w:iCs w:val="1"/>
        <w:rtl w:val="0"/>
        <w:lang w:val="en-US"/>
      </w:rPr>
      <w:t xml:space="preserve">Thanks to Azusa Pacific University for the design of this document </w:t>
    </w:r>
  </w:p>
  <w:p>
    <w:pPr>
      <w:pStyle w:val="Footer"/>
      <w:tabs>
        <w:tab w:val="right" w:pos="9340"/>
        <w:tab w:val="clear" w:pos="9360"/>
      </w:tabs>
    </w:pPr>
  </w:p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rFonts w:ascii="Calibri" w:hAnsi="Calibri"/>
        <w:b w:val="1"/>
        <w:bCs w:val="1"/>
        <w:sz w:val="28"/>
        <w:szCs w:val="28"/>
        <w:rtl w:val="0"/>
        <w:lang w:val="en-US"/>
      </w:rPr>
      <w:t>Expedited Review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