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Exempt Review</w:t>
      </w:r>
    </w:p>
    <w:p>
      <w:pPr>
        <w:pStyle w:val="Norm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Some studies on human subjects may be </w:t>
      </w:r>
      <w:r>
        <w:rPr>
          <w:rFonts w:ascii="Calibri" w:hAnsi="Calibri"/>
          <w:b w:val="1"/>
          <w:bCs w:val="1"/>
          <w:outline w:val="0"/>
          <w:color w:val="000000"/>
          <w:sz w:val="22"/>
          <w:szCs w:val="22"/>
          <w:u w:color="000000"/>
          <w:rtl w:val="0"/>
          <w:lang w:val="en-US"/>
          <w14:textFill>
            <w14:solidFill>
              <w14:srgbClr w14:val="000000"/>
            </w14:solidFill>
          </w14:textFill>
        </w:rPr>
        <w:t xml:space="preserve">exempt </w:t>
      </w:r>
      <w:r>
        <w:rPr>
          <w:rFonts w:ascii="Calibri" w:hAnsi="Calibri"/>
          <w:outline w:val="0"/>
          <w:color w:val="000000"/>
          <w:sz w:val="22"/>
          <w:szCs w:val="22"/>
          <w:u w:color="000000"/>
          <w:rtl w:val="0"/>
          <w:lang w:val="en-US"/>
          <w14:textFill>
            <w14:solidFill>
              <w14:srgbClr w14:val="000000"/>
            </w14:solidFill>
          </w14:textFill>
        </w:rPr>
        <w:t>from the need for full or expedited review by</w:t>
      </w:r>
    </w:p>
    <w:p>
      <w:pPr>
        <w:pStyle w:val="Norm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the Institutional Review Board. Descriptions of such research must nevertheless be filed with the college for periodic review by the Institutional Review Board.</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 xml:space="preserve">What categories of research may be exempt from requirements of the Code of Federal Regulations (45 CFR 46)?  </w:t>
      </w:r>
      <w:r>
        <w:rPr>
          <w:rFonts w:ascii="Calibri" w:hAnsi="Calibri"/>
          <w:outline w:val="0"/>
          <w:color w:val="000000"/>
          <w:sz w:val="22"/>
          <w:szCs w:val="22"/>
          <w:u w:color="000000"/>
          <w:rtl w:val="0"/>
          <w:lang w:val="en-US"/>
          <w14:textFill>
            <w14:solidFill>
              <w14:srgbClr w14:val="000000"/>
            </w14:solidFill>
          </w14:textFill>
        </w:rPr>
        <w:t>Many educational, behavioral, and social science studies present little or no risk to subjects and can be exempt from IRB review.</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 xml:space="preserve">Who decides that a project is Exempt?  </w:t>
      </w:r>
      <w:r>
        <w:rPr>
          <w:rFonts w:ascii="Calibri" w:hAnsi="Calibri"/>
          <w:outline w:val="0"/>
          <w:color w:val="000000"/>
          <w:sz w:val="22"/>
          <w:szCs w:val="22"/>
          <w:u w:color="000000"/>
          <w:rtl w:val="0"/>
          <w:lang w:val="en-US"/>
          <w14:textFill>
            <w14:solidFill>
              <w14:srgbClr w14:val="000000"/>
            </w14:solidFill>
          </w14:textFill>
        </w:rPr>
        <w:t xml:space="preserve">The ENC IRB has determined that the decision to exempt a study is properly made by a faculty member who has completed the NIH </w:t>
      </w:r>
      <w:r>
        <w:rPr>
          <w:rFonts w:ascii="Calibri" w:hAnsi="Calibri"/>
          <w:i w:val="1"/>
          <w:iCs w:val="1"/>
          <w:outline w:val="0"/>
          <w:color w:val="000000"/>
          <w:sz w:val="22"/>
          <w:szCs w:val="22"/>
          <w:u w:color="000000"/>
          <w:rtl w:val="0"/>
          <w:lang w:val="en-US"/>
          <w14:textFill>
            <w14:solidFill>
              <w14:srgbClr w14:val="000000"/>
            </w14:solidFill>
          </w14:textFill>
        </w:rPr>
        <w:t xml:space="preserve">Protecting Human Research Participants </w:t>
      </w:r>
      <w:r>
        <w:rPr>
          <w:rFonts w:ascii="Calibri" w:hAnsi="Calibri"/>
          <w:outline w:val="0"/>
          <w:color w:val="000000"/>
          <w:sz w:val="22"/>
          <w:szCs w:val="22"/>
          <w:u w:color="000000"/>
          <w:rtl w:val="0"/>
          <w:lang w:val="en-US"/>
          <w14:textFill>
            <w14:solidFill>
              <w14:srgbClr w14:val="000000"/>
            </w14:solidFill>
          </w14:textFill>
        </w:rPr>
        <w:t>training and who is not associated with the project.</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The NIH certified faculty must confirm that the project meets criteria for exemption, including:</w:t>
      </w:r>
    </w:p>
    <w:p>
      <w:pPr>
        <w:pStyle w:val="List Paragraph"/>
        <w:numPr>
          <w:ilvl w:val="0"/>
          <w:numId w:val="2"/>
        </w:numPr>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Low risk for participants. The Code of Federal Regulations (45 CFR 46.102(i)) defines minimal risk as:</w:t>
      </w:r>
    </w:p>
    <w:p>
      <w:pPr>
        <w:pStyle w:val="List Paragraph"/>
        <w:numPr>
          <w:ilvl w:val="0"/>
          <w:numId w:val="2"/>
        </w:numPr>
        <w:bidi w:val="0"/>
        <w:ind w:right="0"/>
        <w:jc w:val="left"/>
        <w:rPr>
          <w:rFonts w:ascii="Calibri" w:hAnsi="Calibri" w:hint="default"/>
          <w:sz w:val="22"/>
          <w:szCs w:val="22"/>
          <w:rtl w:val="0"/>
          <w:lang w:val="en-US"/>
        </w:rPr>
      </w:pP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The probability and magnitude or harm or discomfort </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are not greater than those ordinarily encountered in daily life or during the performance of routine physical or psychological examinations or tests</w:t>
      </w:r>
      <w:r>
        <w:rPr>
          <w:rFonts w:ascii="Calibri" w:hAnsi="Calibri" w:hint="default"/>
          <w:outline w:val="0"/>
          <w:color w:val="000000"/>
          <w:sz w:val="22"/>
          <w:szCs w:val="22"/>
          <w:u w:color="000000"/>
          <w:rtl w:val="0"/>
          <w:lang w:val="en-US"/>
          <w14:textFill>
            <w14:solidFill>
              <w14:srgbClr w14:val="000000"/>
            </w14:solidFill>
          </w14:textFill>
        </w:rPr>
        <w:t>”</w:t>
      </w:r>
    </w:p>
    <w:p>
      <w:pPr>
        <w:pStyle w:val="List Paragraph"/>
        <w:numPr>
          <w:ilvl w:val="0"/>
          <w:numId w:val="2"/>
        </w:numPr>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Participants voluntarily provide informed consent</w:t>
      </w:r>
    </w:p>
    <w:p>
      <w:pPr>
        <w:pStyle w:val="List Paragraph"/>
        <w:numPr>
          <w:ilvl w:val="0"/>
          <w:numId w:val="2"/>
        </w:numPr>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The project fits in one of the following categories:</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Exemption 1 - Normal Educational Practices and Settings</w:t>
      </w:r>
    </w:p>
    <w:p>
      <w:pPr>
        <w:pStyle w:val="Normal.0"/>
        <w:rPr>
          <w:rFonts w:ascii="Calibri" w:cs="Calibri" w:hAnsi="Calibri" w:eastAsia="Calibri"/>
          <w:i w:val="1"/>
          <w:iCs w:val="1"/>
          <w:outline w:val="0"/>
          <w:color w:val="000000"/>
          <w:sz w:val="22"/>
          <w:szCs w:val="22"/>
          <w:u w:color="000000"/>
          <w14:textFill>
            <w14:solidFill>
              <w14:srgbClr w14:val="000000"/>
            </w14:solidFill>
          </w14:textFill>
        </w:rPr>
      </w:pPr>
      <w:r>
        <w:rPr>
          <w:rFonts w:ascii="Calibri" w:hAnsi="Calibri"/>
          <w:i w:val="1"/>
          <w:iCs w:val="1"/>
          <w:outline w:val="0"/>
          <w:color w:val="000000"/>
          <w:sz w:val="22"/>
          <w:szCs w:val="22"/>
          <w:u w:color="000000"/>
          <w:rtl w:val="0"/>
          <w:lang w:val="en-US"/>
          <w14:textFill>
            <w14:solidFill>
              <w14:srgbClr w14:val="000000"/>
            </w14:solidFill>
          </w14:textFill>
        </w:rPr>
        <w:t xml:space="preserve">Research conducted in established or commonly accepted educational settings, involving normal educational practices, such as </w:t>
      </w:r>
    </w:p>
    <w:p>
      <w:pPr>
        <w:pStyle w:val="List Paragraph"/>
        <w:numPr>
          <w:ilvl w:val="0"/>
          <w:numId w:val="4"/>
        </w:numPr>
        <w:bidi w:val="0"/>
        <w:ind w:right="0"/>
        <w:jc w:val="left"/>
        <w:rPr>
          <w:rFonts w:ascii="Calibri" w:hAnsi="Calibri"/>
          <w:i w:val="1"/>
          <w:iCs w:val="1"/>
          <w:sz w:val="22"/>
          <w:szCs w:val="22"/>
          <w:rtl w:val="0"/>
          <w:lang w:val="en-US"/>
        </w:rPr>
      </w:pPr>
      <w:r>
        <w:rPr>
          <w:rFonts w:ascii="Calibri" w:hAnsi="Calibri"/>
          <w:i w:val="1"/>
          <w:iCs w:val="1"/>
          <w:outline w:val="0"/>
          <w:color w:val="000000"/>
          <w:sz w:val="22"/>
          <w:szCs w:val="22"/>
          <w:u w:color="000000"/>
          <w:rtl w:val="0"/>
          <w:lang w:val="en-US"/>
          <w14:textFill>
            <w14:solidFill>
              <w14:srgbClr w14:val="000000"/>
            </w14:solidFill>
          </w14:textFill>
        </w:rPr>
        <w:t xml:space="preserve">research on regular and special education instructional strategies, or </w:t>
      </w:r>
    </w:p>
    <w:p>
      <w:pPr>
        <w:pStyle w:val="List Paragraph"/>
        <w:numPr>
          <w:ilvl w:val="0"/>
          <w:numId w:val="4"/>
        </w:numPr>
        <w:bidi w:val="0"/>
        <w:ind w:right="0"/>
        <w:jc w:val="left"/>
        <w:rPr>
          <w:rFonts w:ascii="Calibri" w:hAnsi="Calibri"/>
          <w:i w:val="1"/>
          <w:iCs w:val="1"/>
          <w:sz w:val="22"/>
          <w:szCs w:val="22"/>
          <w:rtl w:val="0"/>
          <w:lang w:val="en-US"/>
        </w:rPr>
      </w:pPr>
      <w:r>
        <w:rPr>
          <w:rFonts w:ascii="Calibri" w:hAnsi="Calibri"/>
          <w:i w:val="1"/>
          <w:iCs w:val="1"/>
          <w:outline w:val="0"/>
          <w:color w:val="000000"/>
          <w:sz w:val="22"/>
          <w:szCs w:val="22"/>
          <w:u w:color="000000"/>
          <w:rtl w:val="0"/>
          <w:lang w:val="en-US"/>
          <w14:textFill>
            <w14:solidFill>
              <w14:srgbClr w14:val="000000"/>
            </w14:solidFill>
          </w14:textFill>
        </w:rPr>
        <w:t>research on the effectiveness of or the comparison among instructional techniques, curricula, or classroom management methods.</w:t>
      </w:r>
    </w:p>
    <w:p>
      <w:pPr>
        <w:pStyle w:val="Normal.0"/>
        <w:rPr>
          <w:rFonts w:ascii="Calibri" w:cs="Calibri" w:hAnsi="Calibri" w:eastAsia="Calibri"/>
          <w:outline w:val="0"/>
          <w:color w:val="000000"/>
          <w:sz w:val="22"/>
          <w:szCs w:val="22"/>
          <w:u w:color="000000"/>
          <w14:textFill>
            <w14:solidFill>
              <w14:srgbClr w14:val="000000"/>
            </w14:solidFill>
          </w14:textFill>
        </w:rPr>
      </w:pPr>
    </w:p>
    <w:p>
      <w:pPr>
        <w:pStyle w:val="Norm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(Exemption 1 is limited to normal educational practices conducted in commonlyaccepted settings. For example, evaluation of the effectiveness of an existing instructional program. A study that involves evaluation of a radically new strategy or random assignment is not exempt because the methods employed are not normal educational practices.) (Ref IRB Mgmt and Function, p 94)</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Exemption 2 - Anonymous Educational Tests, Surveys, Interviews or Observations</w:t>
      </w:r>
    </w:p>
    <w:p>
      <w:pPr>
        <w:pStyle w:val="Normal.0"/>
        <w:rPr>
          <w:rFonts w:ascii="Calibri" w:cs="Calibri" w:hAnsi="Calibri" w:eastAsia="Calibri"/>
          <w:i w:val="1"/>
          <w:iCs w:val="1"/>
          <w:outline w:val="0"/>
          <w:color w:val="000000"/>
          <w:sz w:val="22"/>
          <w:szCs w:val="22"/>
          <w:u w:color="000000"/>
          <w14:textFill>
            <w14:solidFill>
              <w14:srgbClr w14:val="000000"/>
            </w14:solidFill>
          </w14:textFill>
        </w:rPr>
      </w:pPr>
      <w:r>
        <w:rPr>
          <w:rFonts w:ascii="Calibri" w:hAnsi="Calibri"/>
          <w:i w:val="1"/>
          <w:iCs w:val="1"/>
          <w:outline w:val="0"/>
          <w:color w:val="000000"/>
          <w:sz w:val="22"/>
          <w:szCs w:val="22"/>
          <w:u w:color="000000"/>
          <w:rtl w:val="0"/>
          <w:lang w:val="en-US"/>
          <w14:textFill>
            <w14:solidFill>
              <w14:srgbClr w14:val="000000"/>
            </w14:solidFill>
          </w14:textFill>
        </w:rPr>
        <w:t xml:space="preserve">Research involving the use of educational tests (cognitive, diagnostic, aptitude, achievement), survey procedures, interview procedures, or observations of public behavior, unless: </w:t>
      </w:r>
    </w:p>
    <w:p>
      <w:pPr>
        <w:pStyle w:val="List Paragraph"/>
        <w:numPr>
          <w:ilvl w:val="0"/>
          <w:numId w:val="6"/>
        </w:numPr>
        <w:bidi w:val="0"/>
        <w:ind w:right="0"/>
        <w:jc w:val="left"/>
        <w:rPr>
          <w:rFonts w:ascii="Calibri" w:hAnsi="Calibri"/>
          <w:i w:val="1"/>
          <w:iCs w:val="1"/>
          <w:sz w:val="22"/>
          <w:szCs w:val="22"/>
          <w:rtl w:val="0"/>
          <w:lang w:val="en-US"/>
        </w:rPr>
      </w:pPr>
      <w:r>
        <w:rPr>
          <w:rFonts w:ascii="Calibri" w:hAnsi="Calibri"/>
          <w:i w:val="1"/>
          <w:iCs w:val="1"/>
          <w:outline w:val="0"/>
          <w:color w:val="000000"/>
          <w:sz w:val="22"/>
          <w:szCs w:val="22"/>
          <w:u w:color="000000"/>
          <w:rtl w:val="0"/>
          <w:lang w:val="en-US"/>
          <w14:textFill>
            <w14:solidFill>
              <w14:srgbClr w14:val="000000"/>
            </w14:solidFill>
          </w14:textFill>
        </w:rPr>
        <w:t xml:space="preserve">information obtained is recorded in such a manner that human subjects can be identified, directly or through identifiers linked to the subjects; and </w:t>
      </w:r>
    </w:p>
    <w:p>
      <w:pPr>
        <w:pStyle w:val="List Paragraph"/>
        <w:numPr>
          <w:ilvl w:val="0"/>
          <w:numId w:val="6"/>
        </w:numPr>
        <w:bidi w:val="0"/>
        <w:ind w:right="0"/>
        <w:jc w:val="left"/>
        <w:rPr>
          <w:rFonts w:ascii="Calibri" w:hAnsi="Calibri"/>
          <w:i w:val="1"/>
          <w:iCs w:val="1"/>
          <w:sz w:val="22"/>
          <w:szCs w:val="22"/>
          <w:rtl w:val="0"/>
          <w:lang w:val="en-US"/>
        </w:rPr>
      </w:pPr>
      <w:r>
        <w:rPr>
          <w:rFonts w:ascii="Calibri" w:hAnsi="Calibri"/>
          <w:i w:val="1"/>
          <w:iCs w:val="1"/>
          <w:outline w:val="0"/>
          <w:color w:val="000000"/>
          <w:sz w:val="22"/>
          <w:szCs w:val="22"/>
          <w:u w:color="000000"/>
          <w:rtl w:val="0"/>
          <w:lang w:val="en-US"/>
          <w14:textFill>
            <w14:solidFill>
              <w14:srgbClr w14:val="000000"/>
            </w14:solidFill>
          </w14:textFill>
        </w:rPr>
        <w:t>any disclosure of the human subjects</w:t>
      </w:r>
      <w:r>
        <w:rPr>
          <w:rFonts w:ascii="Calibri" w:hAnsi="Calibri" w:hint="default"/>
          <w:i w:val="1"/>
          <w:iCs w:val="1"/>
          <w:outline w:val="0"/>
          <w:color w:val="000000"/>
          <w:sz w:val="22"/>
          <w:szCs w:val="22"/>
          <w:u w:color="000000"/>
          <w:rtl w:val="0"/>
          <w:lang w:val="en-US"/>
          <w14:textFill>
            <w14:solidFill>
              <w14:srgbClr w14:val="000000"/>
            </w14:solidFill>
          </w14:textFill>
        </w:rPr>
        <w:t xml:space="preserve">’ </w:t>
      </w:r>
      <w:r>
        <w:rPr>
          <w:rFonts w:ascii="Calibri" w:hAnsi="Calibri"/>
          <w:i w:val="1"/>
          <w:iCs w:val="1"/>
          <w:outline w:val="0"/>
          <w:color w:val="000000"/>
          <w:sz w:val="22"/>
          <w:szCs w:val="22"/>
          <w:u w:color="000000"/>
          <w:rtl w:val="0"/>
          <w:lang w:val="en-US"/>
          <w14:textFill>
            <w14:solidFill>
              <w14:srgbClr w14:val="000000"/>
            </w14:solidFill>
          </w14:textFill>
        </w:rPr>
        <w:t>responses outside the research could reasonably place the subjects at risk of criminal or civil liability or be damaging to the subjects</w:t>
      </w:r>
      <w:r>
        <w:rPr>
          <w:rFonts w:ascii="Calibri" w:hAnsi="Calibri" w:hint="default"/>
          <w:i w:val="1"/>
          <w:iCs w:val="1"/>
          <w:outline w:val="0"/>
          <w:color w:val="000000"/>
          <w:sz w:val="22"/>
          <w:szCs w:val="22"/>
          <w:u w:color="000000"/>
          <w:rtl w:val="0"/>
          <w:lang w:val="en-US"/>
          <w14:textFill>
            <w14:solidFill>
              <w14:srgbClr w14:val="000000"/>
            </w14:solidFill>
          </w14:textFill>
        </w:rPr>
        <w:t xml:space="preserve">’ </w:t>
      </w:r>
      <w:r>
        <w:rPr>
          <w:rFonts w:ascii="Calibri" w:hAnsi="Calibri"/>
          <w:i w:val="1"/>
          <w:iCs w:val="1"/>
          <w:outline w:val="0"/>
          <w:color w:val="000000"/>
          <w:sz w:val="22"/>
          <w:szCs w:val="22"/>
          <w:u w:color="000000"/>
          <w:rtl w:val="0"/>
          <w:lang w:val="en-US"/>
          <w14:textFill>
            <w14:solidFill>
              <w14:srgbClr w14:val="000000"/>
            </w14:solidFill>
          </w14:textFill>
        </w:rPr>
        <w:t>financial standing, employability, or reputation.</w:t>
      </w:r>
    </w:p>
    <w:p>
      <w:pPr>
        <w:pStyle w:val="Normal.0"/>
        <w:rPr>
          <w:rFonts w:ascii="Calibri" w:cs="Calibri" w:hAnsi="Calibri" w:eastAsia="Calibri"/>
          <w:outline w:val="0"/>
          <w:color w:val="000000"/>
          <w:sz w:val="22"/>
          <w:szCs w:val="22"/>
          <w:u w:color="000000"/>
          <w14:textFill>
            <w14:solidFill>
              <w14:srgbClr w14:val="000000"/>
            </w14:solidFill>
          </w14:textFill>
        </w:rPr>
      </w:pPr>
    </w:p>
    <w:p>
      <w:pPr>
        <w:pStyle w:val="Norm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(This exemption reflects concern with protecting subjects</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privacy and avoiding any risks associated with breach of confidentiality. The participants</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responses to survey questions must be anonymous or de-identified before data analysis. Exempt survey research data must not be linked to individual subjects.  If research data contain personally identifying information and if disclosure of data to unauthorized persons could harm the subject in any way, the research is not exempt. Survey research that deals with sensitive and private aspects of the subject</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s behavior, such as sexual preferences and substance abuse, is not exempt if data can be linked to individuals.  Even if the research has no subject identifiers, invasive questions that may cause emotional distress or discomfort negate exemption.)</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Exemption 3</w:t>
      </w:r>
    </w:p>
    <w:p>
      <w:pPr>
        <w:pStyle w:val="Normal.0"/>
        <w:rPr>
          <w:rFonts w:ascii="Calibri" w:cs="Calibri" w:hAnsi="Calibri" w:eastAsia="Calibri"/>
          <w:i w:val="1"/>
          <w:iCs w:val="1"/>
          <w:outline w:val="0"/>
          <w:color w:val="000000"/>
          <w:sz w:val="22"/>
          <w:szCs w:val="22"/>
          <w:u w:color="000000"/>
          <w14:textFill>
            <w14:solidFill>
              <w14:srgbClr w14:val="000000"/>
            </w14:solidFill>
          </w14:textFill>
        </w:rPr>
      </w:pPr>
      <w:r>
        <w:rPr>
          <w:rFonts w:ascii="Calibri" w:hAnsi="Calibri"/>
          <w:i w:val="1"/>
          <w:iCs w:val="1"/>
          <w:outline w:val="0"/>
          <w:color w:val="000000"/>
          <w:sz w:val="22"/>
          <w:szCs w:val="22"/>
          <w:u w:color="000000"/>
          <w:rtl w:val="0"/>
          <w:lang w:val="en-US"/>
          <w14:textFill>
            <w14:solidFill>
              <w14:srgbClr w14:val="000000"/>
            </w14:solidFill>
          </w14:textFill>
        </w:rPr>
        <w:t xml:space="preserve">Research involving the use of educational tests (cognitive, diagnostic, aptitude, achievement), survey procedures, interview procedures, or observation of public behavior that is not exempt under Exemption 2 above, if </w:t>
      </w:r>
    </w:p>
    <w:p>
      <w:pPr>
        <w:pStyle w:val="List Paragraph"/>
        <w:numPr>
          <w:ilvl w:val="0"/>
          <w:numId w:val="8"/>
        </w:numPr>
        <w:bidi w:val="0"/>
        <w:ind w:right="0"/>
        <w:jc w:val="left"/>
        <w:rPr>
          <w:rFonts w:ascii="Calibri" w:hAnsi="Calibri"/>
          <w:i w:val="1"/>
          <w:iCs w:val="1"/>
          <w:sz w:val="22"/>
          <w:szCs w:val="22"/>
          <w:rtl w:val="0"/>
          <w:lang w:val="en-US"/>
        </w:rPr>
      </w:pPr>
      <w:r>
        <w:rPr>
          <w:rFonts w:ascii="Calibri" w:hAnsi="Calibri"/>
          <w:i w:val="1"/>
          <w:iCs w:val="1"/>
          <w:outline w:val="0"/>
          <w:color w:val="000000"/>
          <w:sz w:val="22"/>
          <w:szCs w:val="22"/>
          <w:u w:color="000000"/>
          <w:rtl w:val="0"/>
          <w:lang w:val="en-US"/>
          <w14:textFill>
            <w14:solidFill>
              <w14:srgbClr w14:val="000000"/>
            </w14:solidFill>
          </w14:textFill>
        </w:rPr>
        <w:t xml:space="preserve">the human subjects are elected or appointed public officials or candidates for public office; or </w:t>
      </w:r>
    </w:p>
    <w:p>
      <w:pPr>
        <w:pStyle w:val="List Paragraph"/>
        <w:numPr>
          <w:ilvl w:val="0"/>
          <w:numId w:val="8"/>
        </w:numPr>
        <w:bidi w:val="0"/>
        <w:ind w:right="0"/>
        <w:jc w:val="left"/>
        <w:rPr>
          <w:rFonts w:ascii="Calibri" w:hAnsi="Calibri"/>
          <w:i w:val="1"/>
          <w:iCs w:val="1"/>
          <w:sz w:val="22"/>
          <w:szCs w:val="22"/>
          <w:rtl w:val="0"/>
          <w:lang w:val="en-US"/>
        </w:rPr>
      </w:pPr>
      <w:r>
        <w:rPr>
          <w:rFonts w:ascii="Calibri" w:hAnsi="Calibri"/>
          <w:i w:val="1"/>
          <w:iCs w:val="1"/>
          <w:outline w:val="0"/>
          <w:color w:val="000000"/>
          <w:sz w:val="22"/>
          <w:szCs w:val="22"/>
          <w:u w:color="000000"/>
          <w:rtl w:val="0"/>
          <w:lang w:val="en-US"/>
          <w14:textFill>
            <w14:solidFill>
              <w14:srgbClr w14:val="000000"/>
            </w14:solidFill>
          </w14:textFill>
        </w:rPr>
        <w:t>the federal statute(s) require(s) without exception that the confidentiality of the personally identifiable information will be maintained throughout the research and thereafter.</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Exemption 4 - Collection or Study of Existing Data</w:t>
      </w:r>
    </w:p>
    <w:p>
      <w:pPr>
        <w:pStyle w:val="Normal.0"/>
        <w:rPr>
          <w:rFonts w:ascii="Calibri" w:cs="Calibri" w:hAnsi="Calibri" w:eastAsia="Calibri"/>
          <w:i w:val="1"/>
          <w:iCs w:val="1"/>
          <w:outline w:val="0"/>
          <w:color w:val="000000"/>
          <w:sz w:val="22"/>
          <w:szCs w:val="22"/>
          <w:u w:color="000000"/>
          <w14:textFill>
            <w14:solidFill>
              <w14:srgbClr w14:val="000000"/>
            </w14:solidFill>
          </w14:textFill>
        </w:rPr>
      </w:pPr>
      <w:r>
        <w:rPr>
          <w:rFonts w:ascii="Calibri" w:hAnsi="Calibri"/>
          <w:i w:val="1"/>
          <w:iCs w:val="1"/>
          <w:outline w:val="0"/>
          <w:color w:val="000000"/>
          <w:sz w:val="22"/>
          <w:szCs w:val="22"/>
          <w:u w:color="000000"/>
          <w:rtl w:val="0"/>
          <w:lang w:val="en-US"/>
          <w14:textFill>
            <w14:solidFill>
              <w14:srgbClr w14:val="000000"/>
            </w14:solidFill>
          </w14:textFill>
        </w:rPr>
        <w:t xml:space="preserve">Research involving the collection of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r>
        <w:rPr>
          <w:rFonts w:ascii="Calibri" w:hAnsi="Calibri"/>
          <w:outline w:val="0"/>
          <w:color w:val="000000"/>
          <w:sz w:val="22"/>
          <w:szCs w:val="22"/>
          <w:u w:color="000000"/>
          <w:rtl w:val="0"/>
          <w:lang w:val="en-US"/>
          <w14:textFill>
            <w14:solidFill>
              <w14:srgbClr w14:val="000000"/>
            </w14:solidFill>
          </w14:textFill>
        </w:rPr>
        <w:t xml:space="preserve">(The data must be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on-the-shelf</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at the time the research begins. The research data must be recorded so that subjects cannot be identified. This includes demographic information that could link the data to the subject. The existence of a code that could be used to identify a subject disqualifies the research from using this exemption.)</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Exemption 5</w:t>
      </w:r>
    </w:p>
    <w:p>
      <w:pPr>
        <w:pStyle w:val="Normal.0"/>
        <w:rPr>
          <w:rFonts w:ascii="Calibri" w:cs="Calibri" w:hAnsi="Calibri" w:eastAsia="Calibri"/>
          <w:i w:val="1"/>
          <w:iCs w:val="1"/>
          <w:outline w:val="0"/>
          <w:color w:val="000000"/>
          <w:sz w:val="22"/>
          <w:szCs w:val="22"/>
          <w:u w:color="000000"/>
          <w14:textFill>
            <w14:solidFill>
              <w14:srgbClr w14:val="000000"/>
            </w14:solidFill>
          </w14:textFill>
        </w:rPr>
      </w:pPr>
      <w:r>
        <w:rPr>
          <w:rFonts w:ascii="Calibri" w:hAnsi="Calibri"/>
          <w:i w:val="1"/>
          <w:iCs w:val="1"/>
          <w:outline w:val="0"/>
          <w:color w:val="000000"/>
          <w:sz w:val="22"/>
          <w:szCs w:val="22"/>
          <w:u w:color="000000"/>
          <w:rtl w:val="0"/>
          <w:lang w:val="en-US"/>
          <w14:textFill>
            <w14:solidFill>
              <w14:srgbClr w14:val="000000"/>
            </w14:solidFill>
          </w14:textFill>
        </w:rPr>
        <w:t xml:space="preserve">Research and demonstration projects that are conducted by or subject to the approval of department or agency heads, and which are designed to study, evaluate, or otherwise examine: </w:t>
      </w:r>
    </w:p>
    <w:p>
      <w:pPr>
        <w:pStyle w:val="List Paragraph"/>
        <w:numPr>
          <w:ilvl w:val="0"/>
          <w:numId w:val="10"/>
        </w:numPr>
        <w:bidi w:val="0"/>
        <w:ind w:right="0"/>
        <w:jc w:val="left"/>
        <w:rPr>
          <w:rFonts w:ascii="Calibri" w:hAnsi="Calibri"/>
          <w:i w:val="1"/>
          <w:iCs w:val="1"/>
          <w:sz w:val="22"/>
          <w:szCs w:val="22"/>
          <w:rtl w:val="0"/>
          <w:lang w:val="en-US"/>
        </w:rPr>
      </w:pPr>
      <w:r>
        <w:rPr>
          <w:rFonts w:ascii="Calibri" w:hAnsi="Calibri"/>
          <w:i w:val="1"/>
          <w:iCs w:val="1"/>
          <w:outline w:val="0"/>
          <w:color w:val="000000"/>
          <w:sz w:val="22"/>
          <w:szCs w:val="22"/>
          <w:u w:color="000000"/>
          <w:rtl w:val="0"/>
          <w:lang w:val="en-US"/>
          <w14:textFill>
            <w14:solidFill>
              <w14:srgbClr w14:val="000000"/>
            </w14:solidFill>
          </w14:textFill>
        </w:rPr>
        <w:t xml:space="preserve">public benefit or service programs; </w:t>
      </w:r>
    </w:p>
    <w:p>
      <w:pPr>
        <w:pStyle w:val="List Paragraph"/>
        <w:numPr>
          <w:ilvl w:val="0"/>
          <w:numId w:val="10"/>
        </w:numPr>
        <w:bidi w:val="0"/>
        <w:ind w:right="0"/>
        <w:jc w:val="left"/>
        <w:rPr>
          <w:rFonts w:ascii="Calibri" w:hAnsi="Calibri"/>
          <w:i w:val="1"/>
          <w:iCs w:val="1"/>
          <w:sz w:val="22"/>
          <w:szCs w:val="22"/>
          <w:rtl w:val="0"/>
          <w:lang w:val="en-US"/>
        </w:rPr>
      </w:pPr>
      <w:r>
        <w:rPr>
          <w:rFonts w:ascii="Calibri" w:hAnsi="Calibri"/>
          <w:i w:val="1"/>
          <w:iCs w:val="1"/>
          <w:outline w:val="0"/>
          <w:color w:val="000000"/>
          <w:sz w:val="22"/>
          <w:szCs w:val="22"/>
          <w:u w:color="000000"/>
          <w:rtl w:val="0"/>
          <w:lang w:val="en-US"/>
          <w14:textFill>
            <w14:solidFill>
              <w14:srgbClr w14:val="000000"/>
            </w14:solidFill>
          </w14:textFill>
        </w:rPr>
        <w:t xml:space="preserve">procedures for obtaining benefits or services under those programs; </w:t>
      </w:r>
    </w:p>
    <w:p>
      <w:pPr>
        <w:pStyle w:val="List Paragraph"/>
        <w:numPr>
          <w:ilvl w:val="0"/>
          <w:numId w:val="10"/>
        </w:numPr>
        <w:bidi w:val="0"/>
        <w:ind w:right="0"/>
        <w:jc w:val="left"/>
        <w:rPr>
          <w:rFonts w:ascii="Calibri" w:hAnsi="Calibri"/>
          <w:i w:val="1"/>
          <w:iCs w:val="1"/>
          <w:sz w:val="22"/>
          <w:szCs w:val="22"/>
          <w:rtl w:val="0"/>
          <w:lang w:val="en-US"/>
        </w:rPr>
      </w:pPr>
      <w:r>
        <w:rPr>
          <w:rFonts w:ascii="Calibri" w:hAnsi="Calibri"/>
          <w:i w:val="1"/>
          <w:iCs w:val="1"/>
          <w:outline w:val="0"/>
          <w:color w:val="000000"/>
          <w:sz w:val="22"/>
          <w:szCs w:val="22"/>
          <w:u w:color="000000"/>
          <w:rtl w:val="0"/>
          <w:lang w:val="en-US"/>
          <w14:textFill>
            <w14:solidFill>
              <w14:srgbClr w14:val="000000"/>
            </w14:solidFill>
          </w14:textFill>
        </w:rPr>
        <w:t xml:space="preserve">possible changes in or alternatives to those programs or procedures; and </w:t>
      </w:r>
    </w:p>
    <w:p>
      <w:pPr>
        <w:pStyle w:val="List Paragraph"/>
        <w:numPr>
          <w:ilvl w:val="0"/>
          <w:numId w:val="10"/>
        </w:numPr>
        <w:bidi w:val="0"/>
        <w:ind w:right="0"/>
        <w:jc w:val="left"/>
        <w:rPr>
          <w:rFonts w:ascii="Calibri" w:hAnsi="Calibri"/>
          <w:i w:val="1"/>
          <w:iCs w:val="1"/>
          <w:sz w:val="22"/>
          <w:szCs w:val="22"/>
          <w:rtl w:val="0"/>
          <w:lang w:val="en-US"/>
        </w:rPr>
      </w:pPr>
      <w:r>
        <w:rPr>
          <w:rFonts w:ascii="Calibri" w:hAnsi="Calibri"/>
          <w:i w:val="1"/>
          <w:iCs w:val="1"/>
          <w:outline w:val="0"/>
          <w:color w:val="000000"/>
          <w:sz w:val="22"/>
          <w:szCs w:val="22"/>
          <w:u w:color="000000"/>
          <w:rtl w:val="0"/>
          <w:lang w:val="en-US"/>
          <w14:textFill>
            <w14:solidFill>
              <w14:srgbClr w14:val="000000"/>
            </w14:solidFill>
          </w14:textFill>
        </w:rPr>
        <w:t>possible changes in methods or levels of payment for benefits or services under those programs.</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Exemption 6</w:t>
      </w:r>
    </w:p>
    <w:p>
      <w:pPr>
        <w:pStyle w:val="Normal.0"/>
        <w:rPr>
          <w:rFonts w:ascii="Calibri" w:cs="Calibri" w:hAnsi="Calibri" w:eastAsia="Calibri"/>
          <w:i w:val="1"/>
          <w:iCs w:val="1"/>
          <w:outline w:val="0"/>
          <w:color w:val="000000"/>
          <w:sz w:val="22"/>
          <w:szCs w:val="22"/>
          <w:u w:color="000000"/>
          <w14:textFill>
            <w14:solidFill>
              <w14:srgbClr w14:val="000000"/>
            </w14:solidFill>
          </w14:textFill>
        </w:rPr>
      </w:pPr>
      <w:r>
        <w:rPr>
          <w:rFonts w:ascii="Calibri" w:hAnsi="Calibri"/>
          <w:i w:val="1"/>
          <w:iCs w:val="1"/>
          <w:outline w:val="0"/>
          <w:color w:val="000000"/>
          <w:sz w:val="22"/>
          <w:szCs w:val="22"/>
          <w:u w:color="000000"/>
          <w:rtl w:val="0"/>
          <w:lang w:val="en-US"/>
          <w14:textFill>
            <w14:solidFill>
              <w14:srgbClr w14:val="000000"/>
            </w14:solidFill>
          </w14:textFill>
        </w:rPr>
        <w:t xml:space="preserve">Taste and food quality evaluation and consumer acceptance studies, </w:t>
      </w:r>
    </w:p>
    <w:p>
      <w:pPr>
        <w:pStyle w:val="List Paragraph"/>
        <w:numPr>
          <w:ilvl w:val="0"/>
          <w:numId w:val="12"/>
        </w:numPr>
        <w:bidi w:val="0"/>
        <w:ind w:right="0"/>
        <w:jc w:val="left"/>
        <w:rPr>
          <w:rFonts w:ascii="Calibri" w:hAnsi="Calibri"/>
          <w:i w:val="1"/>
          <w:iCs w:val="1"/>
          <w:sz w:val="22"/>
          <w:szCs w:val="22"/>
          <w:rtl w:val="0"/>
          <w:lang w:val="en-US"/>
        </w:rPr>
      </w:pPr>
      <w:r>
        <w:rPr>
          <w:rFonts w:ascii="Calibri" w:hAnsi="Calibri"/>
          <w:i w:val="1"/>
          <w:iCs w:val="1"/>
          <w:outline w:val="0"/>
          <w:color w:val="000000"/>
          <w:sz w:val="22"/>
          <w:szCs w:val="22"/>
          <w:u w:color="000000"/>
          <w:rtl w:val="0"/>
          <w:lang w:val="en-US"/>
          <w14:textFill>
            <w14:solidFill>
              <w14:srgbClr w14:val="000000"/>
            </w14:solidFill>
          </w14:textFill>
        </w:rPr>
        <w:t xml:space="preserve">if wholesome foods without additives are consumed or </w:t>
      </w:r>
    </w:p>
    <w:p>
      <w:pPr>
        <w:pStyle w:val="List Paragraph"/>
        <w:numPr>
          <w:ilvl w:val="0"/>
          <w:numId w:val="12"/>
        </w:numPr>
        <w:bidi w:val="0"/>
        <w:ind w:right="0"/>
        <w:jc w:val="left"/>
        <w:rPr>
          <w:rFonts w:ascii="Calibri" w:hAnsi="Calibri"/>
          <w:i w:val="1"/>
          <w:iCs w:val="1"/>
          <w:sz w:val="22"/>
          <w:szCs w:val="22"/>
          <w:rtl w:val="0"/>
          <w:lang w:val="en-US"/>
        </w:rPr>
      </w:pPr>
      <w:r>
        <w:rPr>
          <w:rFonts w:ascii="Calibri" w:hAnsi="Calibri"/>
          <w:i w:val="1"/>
          <w:iCs w:val="1"/>
          <w:outline w:val="0"/>
          <w:color w:val="000000"/>
          <w:sz w:val="22"/>
          <w:szCs w:val="22"/>
          <w:u w:color="000000"/>
          <w:rtl w:val="0"/>
          <w:lang w:val="en-US"/>
          <w14:textFill>
            <w14:solidFill>
              <w14:srgbClr w14:val="000000"/>
            </w14:solidFill>
          </w14:textFill>
        </w:rPr>
        <w:t>if a food is consumed that contains a food ingredient at or below the level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Exemption definitions located in Title 45 CFR 46.101(b)</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What research cannot qualify for exempt status?</w:t>
      </w:r>
    </w:p>
    <w:p>
      <w:pPr>
        <w:pStyle w:val="Norm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Research that cannot qualify for exempt status includes:</w:t>
      </w:r>
    </w:p>
    <w:p>
      <w:pPr>
        <w:pStyle w:val="List Paragraph"/>
        <w:numPr>
          <w:ilvl w:val="0"/>
          <w:numId w:val="14"/>
        </w:numPr>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Research involving interaction with children and minors</w:t>
      </w:r>
    </w:p>
    <w:p>
      <w:pPr>
        <w:pStyle w:val="List Paragraph"/>
        <w:numPr>
          <w:ilvl w:val="0"/>
          <w:numId w:val="14"/>
        </w:numPr>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Research involving prisoners</w:t>
      </w:r>
    </w:p>
    <w:p>
      <w:pPr>
        <w:pStyle w:val="List Paragraph"/>
        <w:numPr>
          <w:ilvl w:val="0"/>
          <w:numId w:val="14"/>
        </w:numPr>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Research that involves deception or withholding of information from subjects</w:t>
      </w:r>
    </w:p>
    <w:p>
      <w:pPr>
        <w:pStyle w:val="List Paragraph"/>
        <w:numPr>
          <w:ilvl w:val="0"/>
          <w:numId w:val="14"/>
        </w:numPr>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Research that involves intense physical exercise</w:t>
      </w:r>
    </w:p>
    <w:p>
      <w:pPr>
        <w:pStyle w:val="List Paragraph"/>
        <w:numPr>
          <w:ilvl w:val="0"/>
          <w:numId w:val="14"/>
        </w:numPr>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Research that may cause emotional distress or discomfort greater that what would be expected in daily life</w:t>
      </w:r>
    </w:p>
    <w:p>
      <w:pPr>
        <w:pStyle w:val="List Paragraph"/>
        <w:rPr>
          <w:rFonts w:ascii="Calibri" w:cs="Calibri" w:hAnsi="Calibri" w:eastAsia="Calibri"/>
          <w:outline w:val="0"/>
          <w:color w:val="000000"/>
          <w:sz w:val="22"/>
          <w:szCs w:val="22"/>
          <w:u w:color="000000"/>
          <w14:textFill>
            <w14:solidFill>
              <w14:srgbClr w14:val="000000"/>
            </w14:solidFill>
          </w14:textFill>
        </w:rPr>
      </w:pPr>
    </w:p>
    <w:p>
      <w:pPr>
        <w:pStyle w:val="Normal.0"/>
      </w:pPr>
      <w:r>
        <w:rPr>
          <w:rFonts w:ascii="Calibri" w:hAnsi="Calibri"/>
          <w:b w:val="1"/>
          <w:bCs w:val="1"/>
          <w:outline w:val="0"/>
          <w:color w:val="000000"/>
          <w:sz w:val="22"/>
          <w:szCs w:val="22"/>
          <w:u w:color="000000"/>
          <w:rtl w:val="0"/>
          <w:lang w:val="en-US"/>
          <w14:textFill>
            <w14:solidFill>
              <w14:srgbClr w14:val="000000"/>
            </w14:solidFill>
          </w14:textFill>
        </w:rPr>
        <w:t>An exempt research project still requires that the complete application is filed with the Institutional Review Board. Accordingly, the same application procedure is required.</w:t>
      </w:r>
    </w:p>
    <w:sectPr>
      <w:headerReference w:type="default" r:id="rId4"/>
      <w:footerReference w:type="default" r:id="rId5"/>
      <w:pgSz w:w="12240" w:h="15840" w:orient="portrait"/>
      <w:pgMar w:top="1080" w:right="1440" w:bottom="990" w:left="1440" w:header="45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p>
  <w:p>
    <w:pPr>
      <w:pStyle w:val="Footer"/>
      <w:tabs>
        <w:tab w:val="right" w:pos="9340"/>
        <w:tab w:val="clear" w:pos="9360"/>
      </w:tabs>
      <w:rPr>
        <w:i w:val="1"/>
        <w:iCs w:val="1"/>
        <w:sz w:val="16"/>
        <w:szCs w:val="16"/>
      </w:rPr>
    </w:pPr>
    <w:r>
      <w:rPr>
        <w:i w:val="1"/>
        <w:iCs w:val="1"/>
        <w:sz w:val="16"/>
        <w:szCs w:val="16"/>
        <w:rtl w:val="0"/>
        <w:lang w:val="en-US"/>
      </w:rPr>
      <w:t xml:space="preserve">Thanks to Azusa Pacific University for the design of this document </w:t>
    </w:r>
  </w:p>
  <w:p>
    <w:pPr>
      <w:pStyle w:val="Footer"/>
      <w:tabs>
        <w:tab w:val="right" w:pos="9340"/>
        <w:tab w:val="clear" w:pos="9360"/>
      </w:tabs>
    </w:pPr>
  </w:p>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Calibri" w:hAnsi="Calibri"/>
        <w:b w:val="1"/>
        <w:bCs w:val="1"/>
        <w:outline w:val="0"/>
        <w:color w:val="000000"/>
        <w:sz w:val="28"/>
        <w:szCs w:val="28"/>
        <w:u w:color="000000"/>
        <w:rtl w:val="0"/>
        <w:lang w:val="en-US"/>
        <w14:textFill>
          <w14:solidFill>
            <w14:srgbClr w14:val="000000"/>
          </w14:solidFill>
        </w14:textFill>
      </w:rPr>
      <w:t>Exempt Review</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tabs>
          <w:tab w:val="num" w:pos="720"/>
        </w:tabs>
        <w:ind w:left="108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80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2520" w:hanging="65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324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96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4680" w:hanging="65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540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612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840" w:hanging="65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Roman"/>
      <w:suff w:val="tab"/>
      <w:lvlText w:val="(%1)"/>
      <w:lvlJc w:val="left"/>
      <w:pPr>
        <w:tabs>
          <w:tab w:val="num" w:pos="720"/>
        </w:tabs>
        <w:ind w:left="108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80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2520" w:hanging="65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324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96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4680" w:hanging="65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540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612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840" w:hanging="65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Roman"/>
      <w:suff w:val="tab"/>
      <w:lvlText w:val="(%1)"/>
      <w:lvlJc w:val="left"/>
      <w:pPr>
        <w:tabs>
          <w:tab w:val="num" w:pos="720"/>
        </w:tabs>
        <w:ind w:left="108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80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2520" w:hanging="65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324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96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4680" w:hanging="65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540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612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840" w:hanging="65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Roman"/>
      <w:suff w:val="tab"/>
      <w:lvlText w:val="(%1)"/>
      <w:lvlJc w:val="left"/>
      <w:pPr>
        <w:tabs>
          <w:tab w:val="num" w:pos="720"/>
        </w:tabs>
        <w:ind w:left="108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80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2520" w:hanging="65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324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96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4680" w:hanging="65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540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612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840" w:hanging="65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Roman"/>
      <w:suff w:val="tab"/>
      <w:lvlText w:val="(%1)"/>
      <w:lvlJc w:val="left"/>
      <w:pPr>
        <w:ind w:left="72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